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jekt elnevezése: Egységes női hang - egyenlően hallható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ámogató megnevezése: Norvég Civil Támogatási Ala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ámogatás időtartama: 2013. szeptember - 2016. áprili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ámogatási összeg: 35 040 24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jekt leírása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Szervezetfejlesztési és straégiaalkotási tréninget tartottunk, lefordíttattuk a kanadai Gender Médiaetikai tankönyvet, felvettük a kapcsolatot a fejlesztendő szervezetekkel, részt vettünk partnerünk, a Független Médiaközpont projektrészleteinek szakértői elemzésében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